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763F97">
        <w:trPr>
          <w:trHeight w:hRule="exact" w:val="10800"/>
          <w:jc w:val="center"/>
        </w:trPr>
        <w:tc>
          <w:tcPr>
            <w:tcW w:w="3840" w:type="dxa"/>
          </w:tcPr>
          <w:p w:rsidR="00763F97" w:rsidRDefault="00DA4DD9">
            <w:r>
              <w:rPr>
                <w:rFonts w:ascii="Helvetica" w:hAnsi="Helvetica" w:cs="Helvetica"/>
                <w:noProof/>
                <w:color w:val="228FD6"/>
                <w:sz w:val="19"/>
                <w:szCs w:val="19"/>
                <w:lang w:eastAsia="en-US"/>
              </w:rPr>
              <w:drawing>
                <wp:inline distT="0" distB="0" distL="0" distR="0" wp14:anchorId="2EC571BB" wp14:editId="40D83D2A">
                  <wp:extent cx="2973659" cy="1981200"/>
                  <wp:effectExtent l="0" t="0" r="0" b="0"/>
                  <wp:docPr id="4" name="Picture 4" descr="File:Ohmen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le:Ohmen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100" cy="20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F97" w:rsidRDefault="00DA4DD9">
            <w:pPr>
              <w:pStyle w:val="Caption"/>
            </w:pPr>
            <w:r>
              <w:t xml:space="preserve">The Imperial Palace overlooking the City of </w:t>
            </w:r>
            <w:proofErr w:type="spellStart"/>
            <w:r>
              <w:t>Ohmen</w:t>
            </w:r>
            <w:proofErr w:type="spellEnd"/>
            <w:r>
              <w:t xml:space="preserve">, </w:t>
            </w:r>
            <w:proofErr w:type="spellStart"/>
            <w:r>
              <w:t>Judecca</w:t>
            </w:r>
            <w:proofErr w:type="spellEnd"/>
          </w:p>
          <w:p w:rsidR="00763F97" w:rsidRDefault="00DA4DD9">
            <w:pPr>
              <w:pStyle w:val="Heading2"/>
            </w:pPr>
            <w:r>
              <w:t xml:space="preserve">The City of </w:t>
            </w:r>
            <w:proofErr w:type="spellStart"/>
            <w:r>
              <w:t>Ohmen</w:t>
            </w:r>
            <w:proofErr w:type="spellEnd"/>
          </w:p>
          <w:p w:rsidR="00763F97" w:rsidRDefault="00F36174">
            <w:r>
              <w:t xml:space="preserve">Capitol city of </w:t>
            </w:r>
            <w:proofErr w:type="spellStart"/>
            <w:r>
              <w:t>Judecca</w:t>
            </w:r>
            <w:proofErr w:type="spellEnd"/>
            <w:r>
              <w:t xml:space="preserve">, </w:t>
            </w:r>
            <w:proofErr w:type="spellStart"/>
            <w:r>
              <w:t>Ohmen</w:t>
            </w:r>
            <w:proofErr w:type="spellEnd"/>
            <w:r>
              <w:t xml:space="preserve"> is built into one of the planet’s mountain ranges. At its center, a lone mountain stands above the rest; home of the Imperial Palace and the Monarchy of the Cocytus System.</w:t>
            </w:r>
          </w:p>
          <w:p w:rsidR="00F36174" w:rsidRDefault="00F36174">
            <w:r>
              <w:t xml:space="preserve">Notably, the town held out against the </w:t>
            </w:r>
            <w:proofErr w:type="spellStart"/>
            <w:r>
              <w:t>Yuuzhan</w:t>
            </w:r>
            <w:proofErr w:type="spellEnd"/>
            <w:r>
              <w:t xml:space="preserve"> </w:t>
            </w:r>
            <w:proofErr w:type="spellStart"/>
            <w:r>
              <w:t>Vong</w:t>
            </w:r>
            <w:proofErr w:type="spellEnd"/>
            <w:r>
              <w:t xml:space="preserve"> Incursion due to its militant design. This fortification creates a foreboding, dangerous atmosphere as you explore the nooks and crannies of the privileged, upper-class manors, museums, and restaurants. </w:t>
            </w:r>
          </w:p>
          <w:p w:rsidR="00F36174" w:rsidRDefault="00F36174">
            <w:r>
              <w:t xml:space="preserve">Notable Attractions in </w:t>
            </w:r>
            <w:proofErr w:type="spellStart"/>
            <w:r>
              <w:t>Ohmen</w:t>
            </w:r>
            <w:proofErr w:type="spellEnd"/>
            <w:r>
              <w:t>:</w:t>
            </w:r>
          </w:p>
          <w:p w:rsidR="00763F97" w:rsidRDefault="00F36174">
            <w:pPr>
              <w:pStyle w:val="ListBullet"/>
            </w:pPr>
            <w:r>
              <w:t>The Black Road</w:t>
            </w:r>
          </w:p>
          <w:p w:rsidR="00763F97" w:rsidRDefault="00F36174">
            <w:pPr>
              <w:pStyle w:val="ListBullet"/>
            </w:pPr>
            <w:r>
              <w:t>The Imperial Palace</w:t>
            </w:r>
          </w:p>
          <w:p w:rsidR="00F36174" w:rsidRDefault="00F36174">
            <w:pPr>
              <w:pStyle w:val="ListBullet"/>
            </w:pPr>
            <w:r>
              <w:t>The Twin Towers</w:t>
            </w:r>
          </w:p>
        </w:tc>
        <w:tc>
          <w:tcPr>
            <w:tcW w:w="713" w:type="dxa"/>
          </w:tcPr>
          <w:p w:rsidR="00763F97" w:rsidRDefault="00763F97"/>
        </w:tc>
        <w:tc>
          <w:tcPr>
            <w:tcW w:w="713" w:type="dxa"/>
          </w:tcPr>
          <w:p w:rsidR="00763F97" w:rsidRDefault="00763F97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763F97">
              <w:trPr>
                <w:trHeight w:hRule="exact" w:val="7920"/>
              </w:trPr>
              <w:tc>
                <w:tcPr>
                  <w:tcW w:w="5000" w:type="pct"/>
                </w:tcPr>
                <w:p w:rsidR="00763F97" w:rsidRPr="00C65D18" w:rsidRDefault="00511569" w:rsidP="00C65D18">
                  <w:pPr>
                    <w:pStyle w:val="Heading1"/>
                    <w:shd w:val="clear" w:color="auto" w:fill="FFFFFF" w:themeFill="background1"/>
                    <w:rPr>
                      <w:color w:val="B07CA6" w:themeColor="accent5" w:themeTint="99"/>
                    </w:rPr>
                  </w:pPr>
                  <w:r w:rsidRPr="00C65D18">
                    <w:rPr>
                      <w:color w:val="B07CA6" w:themeColor="accent5" w:themeTint="99"/>
                    </w:rPr>
                    <w:t>Who We Are</w:t>
                  </w:r>
                </w:p>
                <w:p w:rsidR="00763F97" w:rsidRDefault="00511569">
                  <w:pPr>
                    <w:pStyle w:val="Heading2"/>
                  </w:pPr>
                  <w:r>
                    <w:t>About Us</w:t>
                  </w:r>
                </w:p>
                <w:p w:rsidR="00763F97" w:rsidRDefault="00C65D18">
                  <w:r>
                    <w:t xml:space="preserve">The </w:t>
                  </w:r>
                  <w:proofErr w:type="spellStart"/>
                  <w:r>
                    <w:t>Judecca</w:t>
                  </w:r>
                  <w:proofErr w:type="spellEnd"/>
                  <w:r>
                    <w:t xml:space="preserve"> National Tourist Organization (JNTO)</w:t>
                  </w:r>
                  <w:r w:rsidR="00DA4DD9">
                    <w:t xml:space="preserve"> is a subsidiary of the </w:t>
                  </w:r>
                  <w:proofErr w:type="spellStart"/>
                  <w:r w:rsidR="00DA4DD9">
                    <w:t>Scholae</w:t>
                  </w:r>
                  <w:proofErr w:type="spellEnd"/>
                  <w:r w:rsidR="00DA4DD9">
                    <w:t xml:space="preserve"> </w:t>
                  </w:r>
                  <w:proofErr w:type="spellStart"/>
                  <w:r w:rsidR="00DA4DD9">
                    <w:t>Palatinae</w:t>
                  </w:r>
                  <w:proofErr w:type="spellEnd"/>
                  <w:r w:rsidR="00DA4DD9">
                    <w:t xml:space="preserve"> Organization. JNTO aims to provide the highest level of customer care through great vacation pricing and customized vacation packages for travelers from all parts of the galaxy.</w:t>
                  </w:r>
                </w:p>
                <w:p w:rsidR="00DA4DD9" w:rsidRDefault="00DA4DD9">
                  <w:r>
                    <w:t xml:space="preserve">The JNTO was established in 30 ABY shortly after the </w:t>
                  </w:r>
                  <w:proofErr w:type="spellStart"/>
                  <w:r>
                    <w:t>Yuuzhan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Vong</w:t>
                  </w:r>
                  <w:proofErr w:type="spellEnd"/>
                  <w:r>
                    <w:t xml:space="preserve"> incursion of Brotherhood space. The JNTO was responsible for re-establishing </w:t>
                  </w:r>
                  <w:proofErr w:type="spellStart"/>
                  <w:r>
                    <w:t>Judecca</w:t>
                  </w:r>
                  <w:proofErr w:type="spellEnd"/>
                  <w:r>
                    <w:t xml:space="preserve"> as a prime location for tourism, culture, and relaxation.</w:t>
                  </w:r>
                </w:p>
                <w:p w:rsidR="00DA4DD9" w:rsidRDefault="00DA4DD9">
                  <w:r>
                    <w:t xml:space="preserve">The current Director, </w:t>
                  </w:r>
                  <w:proofErr w:type="spellStart"/>
                  <w:r>
                    <w:t>Xen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Mordin</w:t>
                  </w:r>
                  <w:proofErr w:type="spellEnd"/>
                  <w:r>
                    <w:t xml:space="preserve">, loves long walks on the beaches of </w:t>
                  </w:r>
                  <w:proofErr w:type="spellStart"/>
                  <w:r>
                    <w:t>Judecca</w:t>
                  </w:r>
                  <w:proofErr w:type="spellEnd"/>
                  <w:r>
                    <w:t>. He also is known for his lustrous short, brown hair.</w:t>
                  </w:r>
                </w:p>
                <w:p w:rsidR="00763F97" w:rsidRDefault="00511569">
                  <w:pPr>
                    <w:pStyle w:val="Heading2"/>
                  </w:pPr>
                  <w:r>
                    <w:t xml:space="preserve">Contact </w:t>
                  </w:r>
                  <w:r>
                    <w:t>Us</w:t>
                  </w:r>
                </w:p>
                <w:p w:rsidR="00763F97" w:rsidRDefault="00276E95">
                  <w:r>
                    <w:t>Com-Link: 55-5-5555-01</w:t>
                  </w:r>
                  <w:r>
                    <w:br/>
                    <w:t>Email: XenMordin@gmail.com</w:t>
                  </w:r>
                  <w:r>
                    <w:br/>
                    <w:t xml:space="preserve">Web: </w:t>
                  </w:r>
                  <w:hyperlink r:id="rId9" w:history="1">
                    <w:r w:rsidRPr="00986C0C">
                      <w:rPr>
                        <w:rStyle w:val="Hyperlink"/>
                      </w:rPr>
                      <w:t>https://www.darkjedibrotherhood.com/units/scholae-palatinae</w:t>
                    </w:r>
                  </w:hyperlink>
                </w:p>
                <w:p w:rsidR="00276E95" w:rsidRDefault="00276E95"/>
              </w:tc>
            </w:tr>
            <w:tr w:rsidR="00763F9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763F97">
                    <w:tc>
                      <w:tcPr>
                        <w:tcW w:w="1582" w:type="pct"/>
                        <w:vAlign w:val="center"/>
                      </w:tcPr>
                      <w:p w:rsidR="00763F97" w:rsidRDefault="00276E95">
                        <w:pPr>
                          <w:pStyle w:val="NoSpacing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228FD6"/>
                            <w:sz w:val="19"/>
                            <w:szCs w:val="19"/>
                            <w:lang w:eastAsia="en-US"/>
                          </w:rPr>
                          <w:drawing>
                            <wp:inline distT="0" distB="0" distL="0" distR="0" wp14:anchorId="77747176" wp14:editId="341752E9">
                              <wp:extent cx="771525" cy="771525"/>
                              <wp:effectExtent l="0" t="0" r="9525" b="9525"/>
                              <wp:docPr id="3" name="Picture 3" descr="File:Csp-logo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File:Csp-logo.pn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763F97" w:rsidRDefault="00763F97"/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color w:val="B07CA6" w:themeColor="accent5" w:themeTint="99"/>
                          </w:rPr>
                          <w:alias w:val="Company"/>
                          <w:tag w:val=""/>
                          <w:id w:val="-108818510"/>
                          <w:placeholder>
                            <w:docPart w:val="470DF48905A04993B8F1B63D8B71691F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>
                          <w:rPr>
                            <w:color w:val="B07CA6" w:themeColor="accent5" w:themeTint="99"/>
                          </w:rPr>
                        </w:sdtEndPr>
                        <w:sdtContent>
                          <w:p w:rsidR="00763F97" w:rsidRPr="00C65D18" w:rsidRDefault="00276E95">
                            <w:pPr>
                              <w:pStyle w:val="Company"/>
                              <w:rPr>
                                <w:color w:val="B07CA6" w:themeColor="accent5" w:themeTint="99"/>
                              </w:rPr>
                            </w:pPr>
                            <w:proofErr w:type="spellStart"/>
                            <w:r w:rsidRPr="00C65D18">
                              <w:rPr>
                                <w:color w:val="B07CA6" w:themeColor="accent5" w:themeTint="99"/>
                              </w:rPr>
                              <w:t>Judecca</w:t>
                            </w:r>
                            <w:proofErr w:type="spellEnd"/>
                            <w:r w:rsidRPr="00C65D18">
                              <w:rPr>
                                <w:color w:val="B07CA6" w:themeColor="accent5" w:themeTint="99"/>
                              </w:rPr>
                              <w:t xml:space="preserve"> National Tourist Organization</w:t>
                            </w:r>
                          </w:p>
                        </w:sdtContent>
                      </w:sdt>
                      <w:p w:rsidR="00763F97" w:rsidRDefault="00763F97">
                        <w:pPr>
                          <w:pStyle w:val="Footer"/>
                        </w:pPr>
                      </w:p>
                      <w:p w:rsidR="00763F97" w:rsidRDefault="00276E95">
                        <w:pPr>
                          <w:pStyle w:val="Footer"/>
                        </w:pPr>
                        <w:r>
                          <w:t xml:space="preserve">Clan </w:t>
                        </w:r>
                        <w:proofErr w:type="spellStart"/>
                        <w:r>
                          <w:t>Scholae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Palatinae</w:t>
                        </w:r>
                        <w:proofErr w:type="spellEnd"/>
                      </w:p>
                    </w:tc>
                  </w:tr>
                </w:tbl>
                <w:p w:rsidR="00763F97" w:rsidRDefault="00763F97"/>
              </w:tc>
            </w:tr>
          </w:tbl>
          <w:p w:rsidR="00763F97" w:rsidRDefault="00763F97"/>
        </w:tc>
        <w:tc>
          <w:tcPr>
            <w:tcW w:w="720" w:type="dxa"/>
          </w:tcPr>
          <w:p w:rsidR="00763F97" w:rsidRDefault="00763F97"/>
        </w:tc>
        <w:tc>
          <w:tcPr>
            <w:tcW w:w="720" w:type="dxa"/>
          </w:tcPr>
          <w:p w:rsidR="00763F97" w:rsidRDefault="00763F97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763F97">
              <w:trPr>
                <w:trHeight w:hRule="exact" w:val="5760"/>
              </w:trPr>
              <w:tc>
                <w:tcPr>
                  <w:tcW w:w="5000" w:type="pct"/>
                </w:tcPr>
                <w:p w:rsidR="00763F97" w:rsidRDefault="00276E95">
                  <w:r w:rsidRPr="00276E95">
                    <w:drawing>
                      <wp:inline distT="0" distB="0" distL="0" distR="0">
                        <wp:extent cx="5400675" cy="3659507"/>
                        <wp:effectExtent l="0" t="0" r="0" b="0"/>
                        <wp:docPr id="2" name="Picture 2" descr="File:Judecca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Judecca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4501" cy="3750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F97" w:rsidRDefault="00763F97"/>
              </w:tc>
            </w:tr>
            <w:tr w:rsidR="00763F97">
              <w:trPr>
                <w:trHeight w:hRule="exact" w:val="360"/>
              </w:trPr>
              <w:tc>
                <w:tcPr>
                  <w:tcW w:w="5000" w:type="pct"/>
                </w:tcPr>
                <w:p w:rsidR="00763F97" w:rsidRDefault="00763F97"/>
              </w:tc>
            </w:tr>
            <w:tr w:rsidR="00763F97" w:rsidTr="00C65D18">
              <w:trPr>
                <w:trHeight w:hRule="exact" w:val="3240"/>
              </w:trPr>
              <w:sdt>
                <w:sdtPr>
                  <w:rPr>
                    <w:sz w:val="52"/>
                    <w:szCs w:val="52"/>
                  </w:rPr>
                  <w:alias w:val="Company"/>
                  <w:tag w:val=""/>
                  <w:id w:val="1274751255"/>
                  <w:placeholder>
                    <w:docPart w:val="470DF48905A04993B8F1B63D8B71691F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B07CA6" w:themeFill="accent5" w:themeFillTint="99"/>
                    </w:tcPr>
                    <w:p w:rsidR="00763F97" w:rsidRPr="00276E95" w:rsidRDefault="00276E95" w:rsidP="00276E95">
                      <w:pPr>
                        <w:pStyle w:val="Title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276E95">
                        <w:rPr>
                          <w:sz w:val="52"/>
                          <w:szCs w:val="52"/>
                        </w:rPr>
                        <w:t>Judecca</w:t>
                      </w:r>
                      <w:proofErr w:type="spellEnd"/>
                      <w:r w:rsidRPr="00276E95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National Tourist Organization</w:t>
                      </w:r>
                    </w:p>
                  </w:tc>
                </w:sdtContent>
              </w:sdt>
            </w:tr>
            <w:tr w:rsidR="00763F97" w:rsidTr="00C65D18">
              <w:trPr>
                <w:trHeight w:hRule="exact" w:val="1440"/>
              </w:trPr>
              <w:tc>
                <w:tcPr>
                  <w:tcW w:w="5000" w:type="pct"/>
                  <w:shd w:val="clear" w:color="auto" w:fill="B07CA6" w:themeFill="accent5" w:themeFillTint="99"/>
                  <w:vAlign w:val="bottom"/>
                </w:tcPr>
                <w:p w:rsidR="00763F97" w:rsidRPr="00276E95" w:rsidRDefault="00276E95">
                  <w:pPr>
                    <w:pStyle w:val="Subtitle"/>
                    <w:rPr>
                      <w:sz w:val="52"/>
                      <w:szCs w:val="52"/>
                    </w:rPr>
                  </w:pPr>
                  <w:proofErr w:type="spellStart"/>
                  <w:r w:rsidRPr="00276E95">
                    <w:rPr>
                      <w:b/>
                      <w:szCs w:val="24"/>
                    </w:rPr>
                    <w:t>Judecca</w:t>
                  </w:r>
                  <w:proofErr w:type="spellEnd"/>
                  <w:r w:rsidRPr="00276E95">
                    <w:rPr>
                      <w:b/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Infinite Possibilities.</w:t>
                  </w:r>
                </w:p>
              </w:tc>
            </w:tr>
          </w:tbl>
          <w:p w:rsidR="00763F97" w:rsidRDefault="00763F97"/>
        </w:tc>
      </w:tr>
    </w:tbl>
    <w:p w:rsidR="00763F97" w:rsidRDefault="00763F97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763F97">
        <w:trPr>
          <w:trHeight w:hRule="exact" w:val="10800"/>
          <w:jc w:val="center"/>
        </w:trPr>
        <w:tc>
          <w:tcPr>
            <w:tcW w:w="3840" w:type="dxa"/>
          </w:tcPr>
          <w:p w:rsidR="00C34BFA" w:rsidRDefault="00C34BFA" w:rsidP="00C34BFA">
            <w:pPr>
              <w:keepNext/>
              <w:spacing w:after="320"/>
            </w:pPr>
            <w:r>
              <w:rPr>
                <w:rFonts w:ascii="Helvetica" w:hAnsi="Helvetica" w:cs="Helvetica"/>
                <w:noProof/>
                <w:color w:val="228FD6"/>
                <w:sz w:val="19"/>
                <w:szCs w:val="19"/>
                <w:lang w:eastAsia="en-US"/>
              </w:rPr>
              <w:lastRenderedPageBreak/>
              <w:drawing>
                <wp:inline distT="0" distB="0" distL="0" distR="0" wp14:anchorId="6B80C6B9" wp14:editId="46548C0F">
                  <wp:extent cx="2771775" cy="2078831"/>
                  <wp:effectExtent l="0" t="0" r="0" b="0"/>
                  <wp:docPr id="5" name="Picture 5" descr="File:Dragonspoint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:Dragonspoint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019" cy="213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FA" w:rsidRDefault="00C34BFA" w:rsidP="00C34BFA">
            <w:pPr>
              <w:pStyle w:val="Caption"/>
            </w:pPr>
            <w:r>
              <w:t>Dragon’s Point on the coast of Dragan</w:t>
            </w:r>
          </w:p>
          <w:p w:rsidR="00763F97" w:rsidRPr="00062849" w:rsidRDefault="00C34BFA">
            <w:pPr>
              <w:pStyle w:val="Heading1"/>
              <w:rPr>
                <w:color w:val="B07CA6" w:themeColor="accent5" w:themeTint="99"/>
              </w:rPr>
            </w:pPr>
            <w:r w:rsidRPr="00062849">
              <w:rPr>
                <w:color w:val="B07CA6" w:themeColor="accent5" w:themeTint="99"/>
              </w:rPr>
              <w:t>Culture and Attractions</w:t>
            </w:r>
          </w:p>
          <w:p w:rsidR="00763F97" w:rsidRDefault="00C34BFA">
            <w:pPr>
              <w:pStyle w:val="Heading2"/>
            </w:pPr>
            <w:r>
              <w:t xml:space="preserve">What makes </w:t>
            </w:r>
            <w:proofErr w:type="spellStart"/>
            <w:r>
              <w:t>Judecca</w:t>
            </w:r>
            <w:proofErr w:type="spellEnd"/>
            <w:r>
              <w:t xml:space="preserve"> stand out</w:t>
            </w:r>
          </w:p>
          <w:p w:rsidR="00763F97" w:rsidRDefault="00C34BFA">
            <w:r>
              <w:t xml:space="preserve">The planet is filled with unique, breath-taking landmarks dotted across its entirety. Adventurous individuals are encouraged to take shuttles (guided tours provided at your local JNTO stations) to peruse local landmarks surrounding </w:t>
            </w:r>
            <w:proofErr w:type="spellStart"/>
            <w:r>
              <w:t>Ohmen</w:t>
            </w:r>
            <w:proofErr w:type="spellEnd"/>
            <w:r>
              <w:t>: The Black Road, Twin Towers, and The Imperial Palace.</w:t>
            </w:r>
          </w:p>
          <w:p w:rsidR="00C34BFA" w:rsidRDefault="00C34BFA">
            <w:r>
              <w:t>Special tours can be arranged in advance by registering with the JNTO</w:t>
            </w:r>
            <w:r w:rsidR="00DA5AB4">
              <w:t xml:space="preserve"> and obtaining a Class-III permit; these permits allow for access to rarely seen, but remarkable sites: Ghostly Citadel, Lake of Shadows, Black Jungles, and the Lonely Moors.</w:t>
            </w:r>
          </w:p>
          <w:p w:rsidR="00DA5AB4" w:rsidRDefault="00DA5AB4">
            <w:r>
              <w:t xml:space="preserve">Only licensed officials are allowed to travel to the former city of </w:t>
            </w:r>
            <w:proofErr w:type="spellStart"/>
            <w:r>
              <w:t>Cardas</w:t>
            </w:r>
            <w:proofErr w:type="spellEnd"/>
            <w:r>
              <w:t xml:space="preserve">; now known as the Missing City. In an effort to respect the sacrifices of soldiers and citizens to defend against the </w:t>
            </w:r>
            <w:proofErr w:type="spellStart"/>
            <w:r>
              <w:t>Yuuzhan</w:t>
            </w:r>
            <w:proofErr w:type="spellEnd"/>
            <w:r>
              <w:t xml:space="preserve"> </w:t>
            </w:r>
            <w:proofErr w:type="spellStart"/>
            <w:r>
              <w:t>Vong</w:t>
            </w:r>
            <w:proofErr w:type="spellEnd"/>
            <w:r>
              <w:t>, the land is to be left untouched by man or alien.</w:t>
            </w:r>
          </w:p>
        </w:tc>
        <w:tc>
          <w:tcPr>
            <w:tcW w:w="713" w:type="dxa"/>
          </w:tcPr>
          <w:p w:rsidR="00763F97" w:rsidRDefault="00763F97"/>
        </w:tc>
        <w:tc>
          <w:tcPr>
            <w:tcW w:w="713" w:type="dxa"/>
          </w:tcPr>
          <w:p w:rsidR="00763F97" w:rsidRDefault="00763F97"/>
        </w:tc>
        <w:tc>
          <w:tcPr>
            <w:tcW w:w="3843" w:type="dxa"/>
          </w:tcPr>
          <w:p w:rsidR="00763F97" w:rsidRDefault="00DA5AB4">
            <w:pPr>
              <w:pStyle w:val="Heading2"/>
              <w:spacing w:before="200"/>
            </w:pPr>
            <w:r>
              <w:t xml:space="preserve">How you fit into </w:t>
            </w:r>
            <w:proofErr w:type="spellStart"/>
            <w:r>
              <w:t>Judecca</w:t>
            </w:r>
            <w:proofErr w:type="spellEnd"/>
            <w:r>
              <w:t xml:space="preserve"> society</w:t>
            </w:r>
          </w:p>
          <w:p w:rsidR="00763F97" w:rsidRDefault="00DA5AB4">
            <w:r>
              <w:t xml:space="preserve">With the appointment of </w:t>
            </w:r>
            <w:proofErr w:type="spellStart"/>
            <w:r>
              <w:t>Cuchulain</w:t>
            </w:r>
            <w:proofErr w:type="spellEnd"/>
            <w:r>
              <w:t xml:space="preserve"> </w:t>
            </w:r>
            <w:proofErr w:type="spellStart"/>
            <w:r>
              <w:t>Darkblade</w:t>
            </w:r>
            <w:proofErr w:type="spellEnd"/>
            <w:r>
              <w:t xml:space="preserve"> as the first Emperor of Cocytus; the denizen were brought into the age of space-travel and advanced technology. Visitors are often seen as exotic; revered for their wealth and experience</w:t>
            </w:r>
            <w:r w:rsidR="002D3573">
              <w:t>s collected on distant planets.</w:t>
            </w:r>
          </w:p>
          <w:p w:rsidR="00763F97" w:rsidRPr="00062849" w:rsidRDefault="002D3573">
            <w:pPr>
              <w:pStyle w:val="Quote"/>
              <w:rPr>
                <w:color w:val="B07CA6" w:themeColor="accent5" w:themeTint="99"/>
              </w:rPr>
            </w:pPr>
            <w:r w:rsidRPr="00062849">
              <w:rPr>
                <w:color w:val="B07CA6" w:themeColor="accent5" w:themeTint="99"/>
              </w:rPr>
              <w:t xml:space="preserve">“Hidden in the Outer Rim, </w:t>
            </w:r>
            <w:proofErr w:type="spellStart"/>
            <w:r w:rsidRPr="00062849">
              <w:rPr>
                <w:color w:val="B07CA6" w:themeColor="accent5" w:themeTint="99"/>
              </w:rPr>
              <w:t>Judecca</w:t>
            </w:r>
            <w:proofErr w:type="spellEnd"/>
            <w:r w:rsidRPr="00062849">
              <w:rPr>
                <w:color w:val="B07CA6" w:themeColor="accent5" w:themeTint="99"/>
              </w:rPr>
              <w:t xml:space="preserve"> is a gem lost in time. A land of abundance with no discrimination; all proudly claim </w:t>
            </w:r>
            <w:proofErr w:type="spellStart"/>
            <w:r w:rsidRPr="00062849">
              <w:rPr>
                <w:color w:val="B07CA6" w:themeColor="accent5" w:themeTint="99"/>
              </w:rPr>
              <w:t>Judecca</w:t>
            </w:r>
            <w:proofErr w:type="spellEnd"/>
            <w:r w:rsidRPr="00062849">
              <w:rPr>
                <w:color w:val="B07CA6" w:themeColor="accent5" w:themeTint="99"/>
              </w:rPr>
              <w:t xml:space="preserve"> as their planet and nation – eager to share with others.</w:t>
            </w:r>
            <w:r w:rsidR="00511569" w:rsidRPr="00062849">
              <w:rPr>
                <w:color w:val="B07CA6" w:themeColor="accent5" w:themeTint="99"/>
              </w:rPr>
              <w:t>”</w:t>
            </w:r>
          </w:p>
          <w:p w:rsidR="00763F97" w:rsidRDefault="002D3573">
            <w:pPr>
              <w:pStyle w:val="Heading2"/>
            </w:pPr>
            <w:r>
              <w:t xml:space="preserve">Etiquette on </w:t>
            </w:r>
            <w:proofErr w:type="spellStart"/>
            <w:r>
              <w:t>Judecca</w:t>
            </w:r>
            <w:proofErr w:type="spellEnd"/>
          </w:p>
          <w:p w:rsidR="002D3573" w:rsidRDefault="002D3573">
            <w:r>
              <w:t xml:space="preserve">All citizens are equals on </w:t>
            </w:r>
            <w:proofErr w:type="spellStart"/>
            <w:r>
              <w:t>Judecca</w:t>
            </w:r>
            <w:proofErr w:type="spellEnd"/>
            <w:r>
              <w:t xml:space="preserve">; however, the ruling clan – the Royal Clan – of </w:t>
            </w:r>
            <w:proofErr w:type="spellStart"/>
            <w:r>
              <w:t>Scholae</w:t>
            </w:r>
            <w:proofErr w:type="spellEnd"/>
            <w:r>
              <w:t xml:space="preserve"> </w:t>
            </w:r>
            <w:proofErr w:type="spellStart"/>
            <w:r>
              <w:t>Palatinae</w:t>
            </w:r>
            <w:proofErr w:type="spellEnd"/>
            <w:r>
              <w:t xml:space="preserve"> are given a wide berth. As the delivers of prosperity and the saviors against the </w:t>
            </w:r>
            <w:proofErr w:type="spellStart"/>
            <w:r>
              <w:t>Yuuzhan</w:t>
            </w:r>
            <w:proofErr w:type="spellEnd"/>
            <w:r>
              <w:t xml:space="preserve"> </w:t>
            </w:r>
            <w:proofErr w:type="spellStart"/>
            <w:r>
              <w:t>Vong</w:t>
            </w:r>
            <w:proofErr w:type="spellEnd"/>
            <w:r>
              <w:t>, they are afforded every righ</w:t>
            </w:r>
            <w:bookmarkStart w:id="0" w:name="_GoBack"/>
            <w:bookmarkEnd w:id="0"/>
            <w:r>
              <w:t>t of the ruling class.</w:t>
            </w:r>
          </w:p>
          <w:p w:rsidR="002D3573" w:rsidRDefault="002D3573">
            <w:r>
              <w:t xml:space="preserve">Only one clan can rule Cocytus at a time, but </w:t>
            </w:r>
            <w:proofErr w:type="spellStart"/>
            <w:r>
              <w:t>Scholae</w:t>
            </w:r>
            <w:proofErr w:type="spellEnd"/>
            <w:r>
              <w:t xml:space="preserve"> </w:t>
            </w:r>
            <w:proofErr w:type="spellStart"/>
            <w:r>
              <w:t>Palatinae</w:t>
            </w:r>
            <w:proofErr w:type="spellEnd"/>
            <w:r>
              <w:t xml:space="preserve"> – through military might – has served as the current and foreseeable leaders</w:t>
            </w:r>
            <w:r w:rsidR="00062849">
              <w:t xml:space="preserve"> of the system.</w:t>
            </w:r>
          </w:p>
        </w:tc>
        <w:tc>
          <w:tcPr>
            <w:tcW w:w="720" w:type="dxa"/>
          </w:tcPr>
          <w:p w:rsidR="00763F97" w:rsidRDefault="00763F97"/>
        </w:tc>
        <w:tc>
          <w:tcPr>
            <w:tcW w:w="720" w:type="dxa"/>
          </w:tcPr>
          <w:p w:rsidR="00763F97" w:rsidRDefault="00763F97"/>
        </w:tc>
        <w:tc>
          <w:tcPr>
            <w:tcW w:w="3851" w:type="dxa"/>
          </w:tcPr>
          <w:p w:rsidR="00763F97" w:rsidRDefault="00062849">
            <w:r>
              <w:rPr>
                <w:rFonts w:ascii="Helvetica" w:hAnsi="Helvetica" w:cs="Helvetica"/>
                <w:noProof/>
                <w:color w:val="228FD6"/>
                <w:sz w:val="19"/>
                <w:szCs w:val="19"/>
                <w:lang w:eastAsia="en-US"/>
              </w:rPr>
              <w:drawing>
                <wp:inline distT="0" distB="0" distL="0" distR="0" wp14:anchorId="26286AAE" wp14:editId="14B0F542">
                  <wp:extent cx="2895600" cy="1581150"/>
                  <wp:effectExtent l="0" t="0" r="0" b="0"/>
                  <wp:docPr id="6" name="Picture 6" descr="File:Dleacht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Dleach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F97" w:rsidRDefault="00062849" w:rsidP="00645E46">
            <w:pPr>
              <w:pStyle w:val="Caption"/>
            </w:pPr>
            <w:r>
              <w:t xml:space="preserve">The remote, unpopulated island of </w:t>
            </w:r>
            <w:proofErr w:type="spellStart"/>
            <w:r>
              <w:t>Dleacht</w:t>
            </w:r>
            <w:proofErr w:type="spellEnd"/>
          </w:p>
          <w:p w:rsidR="00763F97" w:rsidRDefault="00511569">
            <w:pPr>
              <w:pStyle w:val="Heading2"/>
            </w:pPr>
            <w:r>
              <w:t>O</w:t>
            </w:r>
            <w:r>
              <w:t>ur Products and Services</w:t>
            </w:r>
          </w:p>
          <w:p w:rsidR="00763F97" w:rsidRDefault="00645E46">
            <w:r>
              <w:t xml:space="preserve">The JNTO provides general information at more than one hundred (100) unique tourist centers across </w:t>
            </w:r>
            <w:proofErr w:type="spellStart"/>
            <w:r>
              <w:t>Judecca</w:t>
            </w:r>
            <w:proofErr w:type="spellEnd"/>
            <w:r>
              <w:t xml:space="preserve">. </w:t>
            </w:r>
          </w:p>
          <w:p w:rsidR="00645E46" w:rsidRDefault="00645E46">
            <w:r>
              <w:t>Tourist Centers can assist visitors with directions, customs, and societal questions. Local centers are also willing to make recommendations for lodging, restaurants, and local attractions.</w:t>
            </w:r>
          </w:p>
          <w:p w:rsidR="00645E46" w:rsidRDefault="00645E46">
            <w:r>
              <w:t xml:space="preserve">In addition, JNTO will help you book vacation packages ranging from time-shares, secondary residences, and first-time lodging. </w:t>
            </w:r>
          </w:p>
          <w:p w:rsidR="00645E46" w:rsidRDefault="00645E46" w:rsidP="00645E46">
            <w:pPr>
              <w:keepNext/>
            </w:pPr>
            <w:r>
              <w:rPr>
                <w:rFonts w:ascii="Helvetica" w:hAnsi="Helvetica" w:cs="Helvetica"/>
                <w:noProof/>
                <w:color w:val="228FD6"/>
                <w:sz w:val="19"/>
                <w:szCs w:val="19"/>
                <w:lang w:eastAsia="en-US"/>
              </w:rPr>
              <w:drawing>
                <wp:inline distT="0" distB="0" distL="0" distR="0" wp14:anchorId="28BE16F7" wp14:editId="1F83D7FA">
                  <wp:extent cx="2603500" cy="1952625"/>
                  <wp:effectExtent l="0" t="0" r="6350" b="9525"/>
                  <wp:docPr id="8" name="Picture 8" descr="File:Ghostlycitade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Ghostlycitade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63" cy="196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E46" w:rsidRDefault="00645E46" w:rsidP="00645E46">
            <w:pPr>
              <w:pStyle w:val="Caption"/>
            </w:pPr>
            <w:r>
              <w:t>The ruins of the Jade Fortress; now known as the Ghostly Citadel</w:t>
            </w:r>
          </w:p>
          <w:p w:rsidR="00645E46" w:rsidRDefault="00645E46"/>
        </w:tc>
      </w:tr>
    </w:tbl>
    <w:p w:rsidR="00763F97" w:rsidRDefault="00763F97">
      <w:pPr>
        <w:pStyle w:val="NoSpacing"/>
      </w:pPr>
    </w:p>
    <w:sectPr w:rsidR="00763F9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5"/>
    <w:rsid w:val="00062849"/>
    <w:rsid w:val="00146DF7"/>
    <w:rsid w:val="00276E95"/>
    <w:rsid w:val="002D3573"/>
    <w:rsid w:val="00511569"/>
    <w:rsid w:val="00645E46"/>
    <w:rsid w:val="00654A55"/>
    <w:rsid w:val="00763F97"/>
    <w:rsid w:val="00C34BFA"/>
    <w:rsid w:val="00C65D18"/>
    <w:rsid w:val="00DA4DD9"/>
    <w:rsid w:val="00DA5AB4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6C42-6C9E-46CB-8FF5-A585322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276E9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iki.darkjedibrotherhood.com/images/e/e5/Ghostlycitadel.jpg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iki.darkjedibrotherhood.com/images/b/be/Ohmen5.jpg" TargetMode="External"/><Relationship Id="rId12" Type="http://schemas.openxmlformats.org/officeDocument/2006/relationships/hyperlink" Target="https://wiki.darkjedibrotherhood.com/images/8/8e/Judecca.jpg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iki.darkjedibrotherhood.com/images/3/3c/Dleacht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iki.darkjedibrotherhood.com/images/6/6f/Csp-logo.png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hyperlink" Target="https://www.darkjedibrotherhood.com/units/scholae-palatinae" TargetMode="External"/><Relationship Id="rId14" Type="http://schemas.openxmlformats.org/officeDocument/2006/relationships/hyperlink" Target="https://wiki.darkjedibrotherhood.com/images/f/fe/Dragonspoint1.jp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of_000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0DF48905A04993B8F1B63D8B7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2E0D-FA77-4E50-8B0C-D37ADDF9B02D}"/>
      </w:docPartPr>
      <w:docPartBody>
        <w:p w:rsidR="00000000" w:rsidRDefault="00BC390F">
          <w:pPr>
            <w:pStyle w:val="470DF48905A04993B8F1B63D8B71691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6"/>
    <w:rsid w:val="00392196"/>
    <w:rsid w:val="00B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DF48905A04993B8F1B63D8B71691F">
    <w:name w:val="470DF48905A04993B8F1B63D8B71691F"/>
  </w:style>
  <w:style w:type="paragraph" w:customStyle="1" w:styleId="4CF499CAD661444884190FA630BAC10B">
    <w:name w:val="4CF499CAD661444884190FA630BAC10B"/>
    <w:rsid w:val="00392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3579-1AB6-4F8E-824C-4F60E759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201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Judecca National Tourist Organization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bmcof_000</dc:creator>
  <cp:keywords/>
  <cp:lastModifiedBy>Microsoft account</cp:lastModifiedBy>
  <cp:revision>1</cp:revision>
  <dcterms:created xsi:type="dcterms:W3CDTF">2015-07-30T18:55:00Z</dcterms:created>
  <dcterms:modified xsi:type="dcterms:W3CDTF">2015-07-30T22:16:00Z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